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65C3" w14:textId="24214C4E" w:rsidR="00D30EDB" w:rsidRDefault="00E516CB" w:rsidP="00E516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Limited Competition RAP</w:t>
      </w:r>
      <w:r w:rsidR="00BB3FB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5A13D4" w14:textId="188ECBEC" w:rsidR="00E516CB" w:rsidRDefault="00E516CB" w:rsidP="00E516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Guide</w:t>
      </w:r>
    </w:p>
    <w:p w14:paraId="3931EC16" w14:textId="7F29D8FD" w:rsidR="00E516CB" w:rsidRDefault="00E516CB" w:rsidP="00E516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as of 7/2022</w:t>
      </w:r>
    </w:p>
    <w:p w14:paraId="03764CD6" w14:textId="6C6E6902" w:rsidR="00E516CB" w:rsidRDefault="00E516CB" w:rsidP="00E516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BF6590" w14:textId="10EDFD8E" w:rsidR="00E516CB" w:rsidRPr="0049352F" w:rsidRDefault="0004010E" w:rsidP="004935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352F">
        <w:rPr>
          <w:rFonts w:ascii="Arial" w:hAnsi="Arial" w:cs="Arial"/>
          <w:sz w:val="20"/>
          <w:szCs w:val="20"/>
        </w:rPr>
        <w:t>When a situation exists</w:t>
      </w:r>
      <w:r w:rsidR="00F25C98" w:rsidRPr="0049352F">
        <w:rPr>
          <w:rFonts w:ascii="Arial" w:hAnsi="Arial" w:cs="Arial"/>
          <w:sz w:val="20"/>
          <w:szCs w:val="20"/>
        </w:rPr>
        <w:t xml:space="preserve"> in an agency for a procurement above $100,000, where there is </w:t>
      </w:r>
      <w:r w:rsidR="00C018D6">
        <w:rPr>
          <w:rFonts w:ascii="Arial" w:hAnsi="Arial" w:cs="Arial"/>
          <w:sz w:val="20"/>
          <w:szCs w:val="20"/>
        </w:rPr>
        <w:t>factual evidence of a</w:t>
      </w:r>
      <w:r w:rsidR="00F25C98" w:rsidRPr="0049352F">
        <w:rPr>
          <w:rFonts w:ascii="Arial" w:hAnsi="Arial" w:cs="Arial"/>
          <w:sz w:val="20"/>
          <w:szCs w:val="20"/>
        </w:rPr>
        <w:t xml:space="preserve"> limited field of potential contractors able to provide the service or supply, the procurement officer may </w:t>
      </w:r>
      <w:r w:rsidR="00F934DF" w:rsidRPr="0049352F">
        <w:rPr>
          <w:rFonts w:ascii="Arial" w:hAnsi="Arial" w:cs="Arial"/>
          <w:sz w:val="20"/>
          <w:szCs w:val="20"/>
        </w:rPr>
        <w:t>seek approval from the CPO</w:t>
      </w:r>
      <w:r w:rsidR="00F25C98" w:rsidRPr="0049352F">
        <w:rPr>
          <w:rFonts w:ascii="Arial" w:hAnsi="Arial" w:cs="Arial"/>
          <w:sz w:val="20"/>
          <w:szCs w:val="20"/>
        </w:rPr>
        <w:t xml:space="preserve"> to hold a limited competition solicitation</w:t>
      </w:r>
      <w:r w:rsidR="00355B5C">
        <w:rPr>
          <w:rFonts w:ascii="Arial" w:hAnsi="Arial" w:cs="Arial"/>
          <w:sz w:val="20"/>
          <w:szCs w:val="20"/>
        </w:rPr>
        <w:t xml:space="preserve"> </w:t>
      </w:r>
      <w:r w:rsidR="00355B5C" w:rsidRPr="00355B5C">
        <w:rPr>
          <w:rFonts w:ascii="Arial" w:hAnsi="Arial" w:cs="Arial"/>
          <w:sz w:val="20"/>
          <w:szCs w:val="20"/>
        </w:rPr>
        <w:t>(AS 36.30.305 &amp; 2 AAC 12.430)</w:t>
      </w:r>
      <w:r w:rsidR="00F934DF" w:rsidRPr="0049352F">
        <w:rPr>
          <w:rFonts w:ascii="Arial" w:hAnsi="Arial" w:cs="Arial"/>
          <w:sz w:val="20"/>
          <w:szCs w:val="20"/>
        </w:rPr>
        <w:t>. If procurement officer decides to do this, they must submit</w:t>
      </w:r>
      <w:r w:rsidR="00F25C98" w:rsidRPr="0049352F">
        <w:rPr>
          <w:rFonts w:ascii="Arial" w:hAnsi="Arial" w:cs="Arial"/>
          <w:sz w:val="20"/>
          <w:szCs w:val="20"/>
        </w:rPr>
        <w:t xml:space="preserve"> a Limited Competition</w:t>
      </w:r>
      <w:r w:rsidR="0049352F">
        <w:rPr>
          <w:rFonts w:ascii="Arial" w:hAnsi="Arial" w:cs="Arial"/>
          <w:sz w:val="20"/>
          <w:szCs w:val="20"/>
        </w:rPr>
        <w:t xml:space="preserve"> (LC)</w:t>
      </w:r>
      <w:r w:rsidR="00F25C98" w:rsidRPr="0049352F">
        <w:rPr>
          <w:rFonts w:ascii="Arial" w:hAnsi="Arial" w:cs="Arial"/>
          <w:sz w:val="20"/>
          <w:szCs w:val="20"/>
        </w:rPr>
        <w:t xml:space="preserve"> RAP to the Office of Procurement and Property Management (OPPM)</w:t>
      </w:r>
      <w:r w:rsidR="00A371E9" w:rsidRPr="0049352F">
        <w:rPr>
          <w:rFonts w:ascii="Arial" w:hAnsi="Arial" w:cs="Arial"/>
          <w:sz w:val="20"/>
          <w:szCs w:val="20"/>
        </w:rPr>
        <w:t>.</w:t>
      </w:r>
    </w:p>
    <w:p w14:paraId="3E4078A7" w14:textId="44F49830" w:rsidR="00A912DF" w:rsidRDefault="00A912DF" w:rsidP="00A912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CE8B49" w14:textId="49594680" w:rsidR="00F9511E" w:rsidRDefault="00CE085A" w:rsidP="004935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E085A">
        <w:rPr>
          <w:rFonts w:ascii="Arial" w:hAnsi="Arial" w:cs="Arial"/>
          <w:sz w:val="20"/>
          <w:szCs w:val="20"/>
        </w:rPr>
        <w:t>LC RAP requests must</w:t>
      </w:r>
      <w:r w:rsidR="00355B5C">
        <w:rPr>
          <w:rFonts w:ascii="Arial" w:hAnsi="Arial" w:cs="Arial"/>
          <w:sz w:val="20"/>
          <w:szCs w:val="20"/>
        </w:rPr>
        <w:t xml:space="preserve"> </w:t>
      </w:r>
      <w:r w:rsidR="00A81B5A">
        <w:rPr>
          <w:rFonts w:ascii="Arial" w:hAnsi="Arial" w:cs="Arial"/>
          <w:sz w:val="20"/>
          <w:szCs w:val="20"/>
        </w:rPr>
        <w:t>explain why the solicitation should be limited (PIM #47</w:t>
      </w:r>
      <w:r w:rsidR="007375B2">
        <w:rPr>
          <w:rFonts w:ascii="Arial" w:hAnsi="Arial" w:cs="Arial"/>
          <w:sz w:val="20"/>
          <w:szCs w:val="20"/>
        </w:rPr>
        <w:t>) and</w:t>
      </w:r>
      <w:r w:rsidR="00A81B5A">
        <w:rPr>
          <w:rFonts w:ascii="Arial" w:hAnsi="Arial" w:cs="Arial"/>
          <w:sz w:val="20"/>
          <w:szCs w:val="20"/>
        </w:rPr>
        <w:t xml:space="preserve"> </w:t>
      </w:r>
      <w:r w:rsidR="00355B5C" w:rsidRPr="00355B5C">
        <w:rPr>
          <w:rFonts w:ascii="Arial" w:hAnsi="Arial" w:cs="Arial"/>
          <w:sz w:val="20"/>
          <w:szCs w:val="20"/>
        </w:rPr>
        <w:t>contain findings of fact that support the determination that other sources are not suitable or acceptable, and that the competitive sealed bidding</w:t>
      </w:r>
      <w:r w:rsidR="00C46AF9">
        <w:rPr>
          <w:rFonts w:ascii="Arial" w:hAnsi="Arial" w:cs="Arial"/>
          <w:sz w:val="20"/>
          <w:szCs w:val="20"/>
        </w:rPr>
        <w:t>,</w:t>
      </w:r>
      <w:r w:rsidR="00355B5C" w:rsidRPr="00355B5C">
        <w:rPr>
          <w:rFonts w:ascii="Arial" w:hAnsi="Arial" w:cs="Arial"/>
          <w:sz w:val="20"/>
          <w:szCs w:val="20"/>
        </w:rPr>
        <w:t xml:space="preserve"> competitive sealed proposal</w:t>
      </w:r>
      <w:r w:rsidR="00C46AF9">
        <w:rPr>
          <w:rFonts w:ascii="Arial" w:hAnsi="Arial" w:cs="Arial"/>
          <w:sz w:val="20"/>
          <w:szCs w:val="20"/>
        </w:rPr>
        <w:t>, or small procurement procedures, as applicable,</w:t>
      </w:r>
      <w:r w:rsidR="00355B5C" w:rsidRPr="00355B5C">
        <w:rPr>
          <w:rFonts w:ascii="Arial" w:hAnsi="Arial" w:cs="Arial"/>
          <w:sz w:val="20"/>
          <w:szCs w:val="20"/>
        </w:rPr>
        <w:t xml:space="preserve"> are impractical or contrary to the public interest</w:t>
      </w:r>
      <w:r w:rsidR="00355B5C">
        <w:rPr>
          <w:rFonts w:ascii="Arial" w:hAnsi="Arial" w:cs="Arial"/>
          <w:sz w:val="20"/>
          <w:szCs w:val="20"/>
        </w:rPr>
        <w:t xml:space="preserve"> (AAM 81.520</w:t>
      </w:r>
      <w:r w:rsidR="00A81B5A">
        <w:rPr>
          <w:rFonts w:ascii="Arial" w:hAnsi="Arial" w:cs="Arial"/>
          <w:sz w:val="20"/>
          <w:szCs w:val="20"/>
        </w:rPr>
        <w:t>)</w:t>
      </w:r>
      <w:r w:rsidR="00355B5C" w:rsidRPr="00355B5C">
        <w:rPr>
          <w:rFonts w:ascii="Arial" w:hAnsi="Arial" w:cs="Arial"/>
          <w:sz w:val="20"/>
          <w:szCs w:val="20"/>
        </w:rPr>
        <w:t>.</w:t>
      </w:r>
    </w:p>
    <w:p w14:paraId="331A995F" w14:textId="77777777" w:rsidR="00F9511E" w:rsidRDefault="00F9511E" w:rsidP="00F9511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A620F67" w14:textId="503EAA15" w:rsidR="0004010E" w:rsidRDefault="00F9511E" w:rsidP="0049352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Small procurement purchases (&lt;$100,000) using the limited competition solicitation method must receive agency Commissioner approval and must not be sent to OPPM, as </w:t>
      </w:r>
      <w:r w:rsidR="00C46AF9">
        <w:rPr>
          <w:rFonts w:ascii="Arial" w:hAnsi="Arial" w:cs="Arial"/>
          <w:sz w:val="20"/>
          <w:szCs w:val="20"/>
        </w:rPr>
        <w:t>small procurements</w:t>
      </w:r>
      <w:r>
        <w:rPr>
          <w:rFonts w:ascii="Arial" w:hAnsi="Arial" w:cs="Arial"/>
          <w:sz w:val="20"/>
          <w:szCs w:val="20"/>
        </w:rPr>
        <w:t xml:space="preserve"> do not require CPO approval.</w:t>
      </w:r>
    </w:p>
    <w:p w14:paraId="386BE868" w14:textId="3332FD31" w:rsidR="00F9511E" w:rsidRDefault="00F9511E" w:rsidP="00F95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281CE3" w14:textId="56018F19" w:rsidR="00F9511E" w:rsidRPr="00F9511E" w:rsidRDefault="00F9511E" w:rsidP="00F951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Single source procurements cannot be made through</w:t>
      </w:r>
      <w:r w:rsidR="006B1CB3">
        <w:rPr>
          <w:rFonts w:ascii="Arial" w:hAnsi="Arial" w:cs="Arial"/>
          <w:sz w:val="20"/>
          <w:szCs w:val="20"/>
        </w:rPr>
        <w:t xml:space="preserve"> approval of</w:t>
      </w:r>
      <w:r>
        <w:rPr>
          <w:rFonts w:ascii="Arial" w:hAnsi="Arial" w:cs="Arial"/>
          <w:sz w:val="20"/>
          <w:szCs w:val="20"/>
        </w:rPr>
        <w:t xml:space="preserve"> a Limited Competition RAP</w:t>
      </w:r>
      <w:r w:rsidR="006B1CB3">
        <w:rPr>
          <w:rFonts w:ascii="Arial" w:hAnsi="Arial" w:cs="Arial"/>
          <w:sz w:val="20"/>
          <w:szCs w:val="20"/>
        </w:rPr>
        <w:t xml:space="preserve"> (AS 36.30.305(d))</w:t>
      </w:r>
      <w:r>
        <w:rPr>
          <w:rFonts w:ascii="Arial" w:hAnsi="Arial" w:cs="Arial"/>
          <w:sz w:val="20"/>
          <w:szCs w:val="20"/>
        </w:rPr>
        <w:t>.</w:t>
      </w:r>
    </w:p>
    <w:p w14:paraId="7842347D" w14:textId="0519C873" w:rsidR="007375B2" w:rsidRDefault="007375B2" w:rsidP="007375B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"/>
        <w:gridCol w:w="9092"/>
      </w:tblGrid>
      <w:tr w:rsidR="00596157" w14:paraId="6D2B1738" w14:textId="77777777" w:rsidTr="0067337C">
        <w:trPr>
          <w:trHeight w:val="368"/>
        </w:trPr>
        <w:tc>
          <w:tcPr>
            <w:tcW w:w="1070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398834" w14:textId="1708D2C8" w:rsidR="00596157" w:rsidRPr="00596157" w:rsidRDefault="00596157" w:rsidP="005961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Evidence Required for Limited Competition RAP Requests</w:t>
            </w:r>
          </w:p>
        </w:tc>
      </w:tr>
      <w:tr w:rsidR="00596157" w14:paraId="6DC3F6C1" w14:textId="77777777" w:rsidTr="0067337C">
        <w:trPr>
          <w:trHeight w:val="368"/>
        </w:trPr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</w:tcPr>
          <w:p w14:paraId="74E53ED5" w14:textId="77777777" w:rsidR="00596157" w:rsidRDefault="00596157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tcBorders>
              <w:left w:val="nil"/>
              <w:bottom w:val="nil"/>
              <w:right w:val="nil"/>
            </w:tcBorders>
            <w:vAlign w:val="center"/>
          </w:tcPr>
          <w:p w14:paraId="19A86F56" w14:textId="77777777" w:rsidR="00596157" w:rsidRPr="00596157" w:rsidRDefault="00596157" w:rsidP="00596157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08" w14:paraId="1BB78697" w14:textId="77777777" w:rsidTr="0067337C">
        <w:trPr>
          <w:trHeight w:val="224"/>
        </w:trPr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7C2253DF" w14:textId="77777777" w:rsidR="00EB6D08" w:rsidRDefault="00EB6D08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399B6" w14:textId="5B10AFCC" w:rsidR="00EB6D08" w:rsidRDefault="00EB6D08" w:rsidP="005148D2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Factual evidence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resulting from either a posted RFI or prior recent solicitation, </w:t>
            </w:r>
            <w:r w:rsidR="00B50FFC">
              <w:rPr>
                <w:rFonts w:ascii="Arial" w:hAnsi="Arial" w:cs="Arial"/>
                <w:sz w:val="20"/>
                <w:szCs w:val="20"/>
              </w:rPr>
              <w:t>supporting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651">
              <w:rPr>
                <w:rFonts w:ascii="Arial" w:hAnsi="Arial" w:cs="Arial"/>
                <w:sz w:val="20"/>
                <w:szCs w:val="20"/>
              </w:rPr>
              <w:t>why this solicitation should be limited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E3BBE9" w14:textId="62903930" w:rsidR="005148D2" w:rsidRDefault="005148D2" w:rsidP="00514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Posting of an RFI announcing the intent to </w:t>
            </w:r>
            <w:r w:rsidR="006067CD">
              <w:rPr>
                <w:rFonts w:ascii="Arial" w:hAnsi="Arial" w:cs="Arial"/>
                <w:sz w:val="20"/>
                <w:szCs w:val="20"/>
              </w:rPr>
              <w:t>make</w:t>
            </w:r>
            <w:r w:rsidR="00B432DC">
              <w:rPr>
                <w:rFonts w:ascii="Arial" w:hAnsi="Arial" w:cs="Arial"/>
                <w:sz w:val="20"/>
                <w:szCs w:val="20"/>
              </w:rPr>
              <w:t xml:space="preserve"> a limited competition </w:t>
            </w:r>
            <w:r w:rsidR="006067CD">
              <w:rPr>
                <w:rFonts w:ascii="Arial" w:hAnsi="Arial" w:cs="Arial"/>
                <w:sz w:val="20"/>
                <w:szCs w:val="20"/>
              </w:rPr>
              <w:t>procurement</w:t>
            </w:r>
            <w:r w:rsidR="00B432DC">
              <w:rPr>
                <w:rFonts w:ascii="Arial" w:hAnsi="Arial" w:cs="Arial"/>
                <w:sz w:val="20"/>
                <w:szCs w:val="20"/>
              </w:rPr>
              <w:t xml:space="preserve"> with no responses of </w:t>
            </w:r>
            <w:r w:rsidR="00BE3D13">
              <w:rPr>
                <w:rFonts w:ascii="Arial" w:hAnsi="Arial" w:cs="Arial"/>
                <w:sz w:val="20"/>
                <w:szCs w:val="20"/>
              </w:rPr>
              <w:t>interest from any other companies</w:t>
            </w:r>
            <w:r w:rsidR="00B432D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3D8D15" w14:textId="77777777" w:rsidR="001A4ED1" w:rsidRDefault="00B432DC" w:rsidP="005148D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from a recent solicitation</w:t>
            </w:r>
            <w:r w:rsidR="00EC01A2">
              <w:rPr>
                <w:rFonts w:ascii="Arial" w:hAnsi="Arial" w:cs="Arial"/>
                <w:sz w:val="20"/>
                <w:szCs w:val="20"/>
              </w:rPr>
              <w:t xml:space="preserve"> (within </w:t>
            </w:r>
            <w:r w:rsidR="00B50FFC">
              <w:rPr>
                <w:rFonts w:ascii="Arial" w:hAnsi="Arial" w:cs="Arial"/>
                <w:sz w:val="20"/>
                <w:szCs w:val="20"/>
              </w:rPr>
              <w:t>the past</w:t>
            </w:r>
            <w:r w:rsidR="00EC01A2">
              <w:rPr>
                <w:rFonts w:ascii="Arial" w:hAnsi="Arial" w:cs="Arial"/>
                <w:sz w:val="20"/>
                <w:szCs w:val="20"/>
              </w:rPr>
              <w:t xml:space="preserve"> year)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for the same service or supply</w:t>
            </w:r>
            <w:r w:rsidR="00291651">
              <w:rPr>
                <w:rFonts w:ascii="Arial" w:hAnsi="Arial" w:cs="Arial"/>
                <w:sz w:val="20"/>
                <w:szCs w:val="20"/>
              </w:rPr>
              <w:t>, with the only companies to respond being those listed in th</w:t>
            </w:r>
            <w:r w:rsidR="00B50FFC">
              <w:rPr>
                <w:rFonts w:ascii="Arial" w:hAnsi="Arial" w:cs="Arial"/>
                <w:sz w:val="20"/>
                <w:szCs w:val="20"/>
              </w:rPr>
              <w:t>is</w:t>
            </w:r>
            <w:r w:rsidR="00291651">
              <w:rPr>
                <w:rFonts w:ascii="Arial" w:hAnsi="Arial" w:cs="Arial"/>
                <w:sz w:val="20"/>
                <w:szCs w:val="20"/>
              </w:rPr>
              <w:t xml:space="preserve"> LC RAP</w:t>
            </w:r>
            <w:r w:rsidR="00B50FFC"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="00291651">
              <w:rPr>
                <w:rFonts w:ascii="Arial" w:hAnsi="Arial" w:cs="Arial"/>
                <w:sz w:val="20"/>
                <w:szCs w:val="20"/>
              </w:rPr>
              <w:t>.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64A9F5" w14:textId="0795EAB3" w:rsidR="00BE3D13" w:rsidRDefault="001A4ED1" w:rsidP="001A4E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did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a solicitation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closed</w:t>
            </w:r>
            <w:r>
              <w:rPr>
                <w:rFonts w:ascii="Arial" w:hAnsi="Arial" w:cs="Arial"/>
                <w:sz w:val="20"/>
                <w:szCs w:val="20"/>
              </w:rPr>
              <w:t>, proposals or bids were received, but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errors are found that require</w:t>
            </w:r>
            <w:r w:rsidR="00BE3D13">
              <w:rPr>
                <w:rFonts w:ascii="Arial" w:hAnsi="Arial" w:cs="Arial"/>
                <w:sz w:val="20"/>
                <w:szCs w:val="20"/>
              </w:rPr>
              <w:t>d you to cancel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E3D13">
              <w:rPr>
                <w:rFonts w:ascii="Arial" w:hAnsi="Arial" w:cs="Arial"/>
                <w:sz w:val="20"/>
                <w:szCs w:val="20"/>
              </w:rPr>
              <w:t>solicitation, or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F89D4E" w14:textId="27FDBEF0" w:rsidR="00B432DC" w:rsidRPr="005148D2" w:rsidRDefault="00BE3D13" w:rsidP="001A4ED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F732C">
              <w:rPr>
                <w:rFonts w:ascii="Arial" w:hAnsi="Arial" w:cs="Arial"/>
                <w:sz w:val="20"/>
                <w:szCs w:val="20"/>
              </w:rPr>
              <w:t>f another agency has recently</w:t>
            </w:r>
            <w:r w:rsidR="001A4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8D6">
              <w:rPr>
                <w:rFonts w:ascii="Arial" w:hAnsi="Arial" w:cs="Arial"/>
                <w:sz w:val="20"/>
                <w:szCs w:val="20"/>
              </w:rPr>
              <w:t>posted</w:t>
            </w:r>
            <w:r w:rsidR="001A4ED1">
              <w:rPr>
                <w:rFonts w:ascii="Arial" w:hAnsi="Arial" w:cs="Arial"/>
                <w:sz w:val="20"/>
                <w:szCs w:val="20"/>
              </w:rPr>
              <w:t xml:space="preserve"> a solicitation for the same service or supply and received responses only from the companies listed in this LC RAP request.</w:t>
            </w:r>
          </w:p>
        </w:tc>
      </w:tr>
      <w:tr w:rsidR="00EB6D08" w14:paraId="20D25F72" w14:textId="77777777" w:rsidTr="0067337C">
        <w:trPr>
          <w:trHeight w:val="368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793D8782" w14:textId="77777777" w:rsidR="00EB6D08" w:rsidRDefault="00EB6D08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49198" w14:textId="5DF71D33" w:rsidR="00EB6D08" w:rsidRDefault="00EB6D08" w:rsidP="00596157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32C" w14:paraId="4355AFE0" w14:textId="77777777" w:rsidTr="0067337C">
        <w:trPr>
          <w:trHeight w:val="368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9FD8A" w14:textId="77777777" w:rsidR="001F732C" w:rsidRDefault="001F732C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</w:tcPr>
          <w:p w14:paraId="02B05FBE" w14:textId="77777777" w:rsidR="001F732C" w:rsidRDefault="001F732C" w:rsidP="00B50FFC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FFC" w14:paraId="3CE7E0FA" w14:textId="77777777" w:rsidTr="0067337C">
        <w:trPr>
          <w:trHeight w:val="20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577" w14:textId="77777777" w:rsidR="00B50FFC" w:rsidRDefault="00B50FFC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01E1C" w14:textId="77777777" w:rsidR="00B50FFC" w:rsidRDefault="00B50FFC" w:rsidP="00BE3D13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Factual evidence</w:t>
            </w:r>
            <w:r w:rsidR="001F7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3D13">
              <w:rPr>
                <w:rFonts w:ascii="Arial" w:hAnsi="Arial" w:cs="Arial"/>
                <w:sz w:val="20"/>
                <w:szCs w:val="20"/>
              </w:rPr>
              <w:t>- a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explanation</w:t>
            </w:r>
            <w:r w:rsidR="00BE3D13">
              <w:rPr>
                <w:rFonts w:ascii="Arial" w:hAnsi="Arial" w:cs="Arial"/>
                <w:sz w:val="20"/>
                <w:szCs w:val="20"/>
              </w:rPr>
              <w:t xml:space="preserve"> from a Subject Matter Expert,</w:t>
            </w:r>
            <w:r>
              <w:rPr>
                <w:rFonts w:ascii="Arial" w:hAnsi="Arial" w:cs="Arial"/>
                <w:sz w:val="20"/>
                <w:szCs w:val="20"/>
              </w:rPr>
              <w:t xml:space="preserve"> showing why a</w:t>
            </w:r>
            <w:r w:rsidR="00482927">
              <w:rPr>
                <w:rFonts w:ascii="Arial" w:hAnsi="Arial" w:cs="Arial"/>
                <w:sz w:val="20"/>
                <w:szCs w:val="20"/>
              </w:rPr>
              <w:t xml:space="preserve"> 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ITB or RFP are impracticable or contrary to the public</w:t>
            </w:r>
            <w:r w:rsidR="00BE3D13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nterest.</w:t>
            </w:r>
            <w:r w:rsidR="006067CD">
              <w:rPr>
                <w:rFonts w:ascii="Arial" w:hAnsi="Arial" w:cs="Arial"/>
                <w:sz w:val="20"/>
                <w:szCs w:val="20"/>
              </w:rPr>
              <w:t xml:space="preserve"> This explanation needs to be an independent examination and determination of the material facts of the procurement.</w:t>
            </w:r>
          </w:p>
          <w:p w14:paraId="31E1D312" w14:textId="77777777" w:rsidR="008F0E59" w:rsidRDefault="008F0E59" w:rsidP="008F0E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Their name,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experience with the program and why this qualifies them to speak authoritatively on the matter.</w:t>
            </w:r>
          </w:p>
          <w:p w14:paraId="3B05D812" w14:textId="77777777" w:rsidR="008F0E59" w:rsidRDefault="008F0E59" w:rsidP="008F0E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the product or service is needed.</w:t>
            </w:r>
          </w:p>
          <w:p w14:paraId="5DCA81F1" w14:textId="10F0A880" w:rsidR="008F0E59" w:rsidRPr="008F0E59" w:rsidRDefault="008F0E59" w:rsidP="008F0E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using the normal competitive process is not </w:t>
            </w:r>
            <w:r w:rsidR="0067337C">
              <w:rPr>
                <w:rFonts w:ascii="Arial" w:hAnsi="Arial" w:cs="Arial"/>
                <w:sz w:val="20"/>
                <w:szCs w:val="20"/>
              </w:rPr>
              <w:t>practica</w:t>
            </w:r>
            <w:r w:rsidR="00C018D6">
              <w:rPr>
                <w:rFonts w:ascii="Arial" w:hAnsi="Arial" w:cs="Arial"/>
                <w:sz w:val="20"/>
                <w:szCs w:val="20"/>
              </w:rPr>
              <w:t xml:space="preserve">l or contrary to the public </w:t>
            </w:r>
            <w:proofErr w:type="gramStart"/>
            <w:r w:rsidR="00C018D6">
              <w:rPr>
                <w:rFonts w:ascii="Arial" w:hAnsi="Arial" w:cs="Arial"/>
                <w:sz w:val="20"/>
                <w:szCs w:val="20"/>
              </w:rPr>
              <w:t>interest</w:t>
            </w:r>
            <w:r w:rsidR="0067337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B50FFC" w14:paraId="4308EDDD" w14:textId="77777777" w:rsidTr="0067337C">
        <w:trPr>
          <w:trHeight w:val="368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D23239F" w14:textId="77777777" w:rsidR="00B50FFC" w:rsidRDefault="00B50FFC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4655" w14:textId="0A99309C" w:rsidR="00B50FFC" w:rsidRDefault="00B50FFC" w:rsidP="00596157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27" w14:paraId="45248BA8" w14:textId="77777777" w:rsidTr="0067337C">
        <w:trPr>
          <w:trHeight w:val="368"/>
        </w:trPr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94FCC" w14:textId="77777777" w:rsidR="00482927" w:rsidRDefault="00482927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6FAEA" w14:textId="77777777" w:rsidR="00482927" w:rsidRDefault="00482927" w:rsidP="00596157">
            <w:pPr>
              <w:ind w:lef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927" w14:paraId="63A769B8" w14:textId="77777777" w:rsidTr="0067337C">
        <w:trPr>
          <w:trHeight w:val="161"/>
        </w:trPr>
        <w:tc>
          <w:tcPr>
            <w:tcW w:w="265" w:type="dxa"/>
            <w:tcBorders>
              <w:top w:val="single" w:sz="4" w:space="0" w:color="auto"/>
            </w:tcBorders>
          </w:tcPr>
          <w:p w14:paraId="011456CB" w14:textId="77777777" w:rsidR="00482927" w:rsidRDefault="00482927" w:rsidP="007375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5" w:type="dxa"/>
            <w:tcBorders>
              <w:top w:val="nil"/>
              <w:bottom w:val="nil"/>
              <w:right w:val="nil"/>
            </w:tcBorders>
            <w:vAlign w:val="center"/>
          </w:tcPr>
          <w:p w14:paraId="0452482C" w14:textId="3B3F6452" w:rsidR="00482927" w:rsidRDefault="00482927" w:rsidP="00596157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related, attach IRB approval for the procurement.</w:t>
            </w:r>
          </w:p>
        </w:tc>
      </w:tr>
    </w:tbl>
    <w:p w14:paraId="4ED758A3" w14:textId="42959C22" w:rsidR="007375B2" w:rsidRDefault="007375B2" w:rsidP="007375B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00939700" w14:textId="39149BE3" w:rsidR="007375B2" w:rsidRDefault="007375B2" w:rsidP="007375B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66AD38D8" w14:textId="77777777" w:rsidR="007375B2" w:rsidRPr="007375B2" w:rsidRDefault="007375B2" w:rsidP="007375B2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sectPr w:rsidR="007375B2" w:rsidRPr="007375B2" w:rsidSect="0067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2BB" w14:textId="77777777" w:rsidR="000A7E5C" w:rsidRDefault="000A7E5C" w:rsidP="00C21081">
      <w:pPr>
        <w:spacing w:after="0" w:line="240" w:lineRule="auto"/>
      </w:pPr>
      <w:r>
        <w:separator/>
      </w:r>
    </w:p>
  </w:endnote>
  <w:endnote w:type="continuationSeparator" w:id="0">
    <w:p w14:paraId="3A4C7A9F" w14:textId="77777777" w:rsidR="000A7E5C" w:rsidRDefault="000A7E5C" w:rsidP="00C2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E989" w14:textId="77777777" w:rsidR="000A7E5C" w:rsidRDefault="000A7E5C" w:rsidP="00C21081">
      <w:pPr>
        <w:spacing w:after="0" w:line="240" w:lineRule="auto"/>
      </w:pPr>
      <w:r>
        <w:separator/>
      </w:r>
    </w:p>
  </w:footnote>
  <w:footnote w:type="continuationSeparator" w:id="0">
    <w:p w14:paraId="0CAC9C78" w14:textId="77777777" w:rsidR="000A7E5C" w:rsidRDefault="000A7E5C" w:rsidP="00C2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8D1"/>
    <w:multiLevelType w:val="hybridMultilevel"/>
    <w:tmpl w:val="685A9A3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E686F49"/>
    <w:multiLevelType w:val="hybridMultilevel"/>
    <w:tmpl w:val="D10C5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30125"/>
    <w:multiLevelType w:val="hybridMultilevel"/>
    <w:tmpl w:val="EE525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676D"/>
    <w:multiLevelType w:val="hybridMultilevel"/>
    <w:tmpl w:val="BB460CEA"/>
    <w:lvl w:ilvl="0" w:tplc="47DA0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42C"/>
    <w:multiLevelType w:val="hybridMultilevel"/>
    <w:tmpl w:val="EC9CA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E71"/>
    <w:multiLevelType w:val="hybridMultilevel"/>
    <w:tmpl w:val="C4DEF39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65F06DEA"/>
    <w:multiLevelType w:val="hybridMultilevel"/>
    <w:tmpl w:val="8EEEDA28"/>
    <w:lvl w:ilvl="0" w:tplc="9612DBE6">
      <w:numFmt w:val="bullet"/>
      <w:lvlText w:val="-"/>
      <w:lvlJc w:val="left"/>
      <w:pPr>
        <w:ind w:left="11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7" w15:restartNumberingAfterBreak="0">
    <w:nsid w:val="660F196A"/>
    <w:multiLevelType w:val="hybridMultilevel"/>
    <w:tmpl w:val="8EE80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25A6"/>
    <w:multiLevelType w:val="hybridMultilevel"/>
    <w:tmpl w:val="0DB09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77005">
    <w:abstractNumId w:val="7"/>
  </w:num>
  <w:num w:numId="2" w16cid:durableId="37631795">
    <w:abstractNumId w:val="4"/>
  </w:num>
  <w:num w:numId="3" w16cid:durableId="2117478199">
    <w:abstractNumId w:val="3"/>
  </w:num>
  <w:num w:numId="4" w16cid:durableId="13189035">
    <w:abstractNumId w:val="2"/>
  </w:num>
  <w:num w:numId="5" w16cid:durableId="2122140225">
    <w:abstractNumId w:val="8"/>
  </w:num>
  <w:num w:numId="6" w16cid:durableId="1532721274">
    <w:abstractNumId w:val="1"/>
  </w:num>
  <w:num w:numId="7" w16cid:durableId="1215191508">
    <w:abstractNumId w:val="5"/>
  </w:num>
  <w:num w:numId="8" w16cid:durableId="1211574936">
    <w:abstractNumId w:val="6"/>
  </w:num>
  <w:num w:numId="9" w16cid:durableId="203680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CB"/>
    <w:rsid w:val="0004010E"/>
    <w:rsid w:val="000A7E5C"/>
    <w:rsid w:val="000F4772"/>
    <w:rsid w:val="001A4ED1"/>
    <w:rsid w:val="001F732C"/>
    <w:rsid w:val="00291651"/>
    <w:rsid w:val="00355B5C"/>
    <w:rsid w:val="003C5F64"/>
    <w:rsid w:val="0045019F"/>
    <w:rsid w:val="00466CC0"/>
    <w:rsid w:val="00482927"/>
    <w:rsid w:val="0049352F"/>
    <w:rsid w:val="005148D2"/>
    <w:rsid w:val="005556E9"/>
    <w:rsid w:val="00596157"/>
    <w:rsid w:val="006067CD"/>
    <w:rsid w:val="00646896"/>
    <w:rsid w:val="0067337C"/>
    <w:rsid w:val="00684843"/>
    <w:rsid w:val="006B1CB3"/>
    <w:rsid w:val="007375B2"/>
    <w:rsid w:val="008F0E59"/>
    <w:rsid w:val="00A371E9"/>
    <w:rsid w:val="00A81B5A"/>
    <w:rsid w:val="00A912DF"/>
    <w:rsid w:val="00B432DC"/>
    <w:rsid w:val="00B50FFC"/>
    <w:rsid w:val="00BB3FB1"/>
    <w:rsid w:val="00BE3D13"/>
    <w:rsid w:val="00C018D6"/>
    <w:rsid w:val="00C21081"/>
    <w:rsid w:val="00C46AF9"/>
    <w:rsid w:val="00CE085A"/>
    <w:rsid w:val="00D30EDB"/>
    <w:rsid w:val="00E516CB"/>
    <w:rsid w:val="00EB6D08"/>
    <w:rsid w:val="00EC01A2"/>
    <w:rsid w:val="00F25C98"/>
    <w:rsid w:val="00F934DF"/>
    <w:rsid w:val="00F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F0776"/>
  <w15:chartTrackingRefBased/>
  <w15:docId w15:val="{0C93AD53-1A4E-4E9E-8302-FF5B5DAA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DF"/>
    <w:pPr>
      <w:ind w:left="720"/>
      <w:contextualSpacing/>
    </w:pPr>
  </w:style>
  <w:style w:type="table" w:styleId="TableGrid">
    <w:name w:val="Table Grid"/>
    <w:basedOn w:val="TableNormal"/>
    <w:uiPriority w:val="39"/>
    <w:rsid w:val="0059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Birk, Melinda S (DOA)</dc:creator>
  <cp:keywords/>
  <dc:description/>
  <cp:lastModifiedBy>Birk, Melinda S (DOA)</cp:lastModifiedBy>
  <cp:revision>7</cp:revision>
  <dcterms:created xsi:type="dcterms:W3CDTF">2022-06-20T19:49:00Z</dcterms:created>
  <dcterms:modified xsi:type="dcterms:W3CDTF">2022-06-22T16:49:00Z</dcterms:modified>
</cp:coreProperties>
</file>